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1985"/>
        <w:gridCol w:w="8080"/>
      </w:tblGrid>
      <w:tr w:rsidR="00D1291A" w:rsidRPr="00065D3C" w:rsidTr="00AB5E30">
        <w:trPr>
          <w:trHeight w:val="1975"/>
        </w:trPr>
        <w:tc>
          <w:tcPr>
            <w:tcW w:w="1985" w:type="dxa"/>
          </w:tcPr>
          <w:p w:rsidR="00D1291A" w:rsidRPr="00065D3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143000" cy="657225"/>
                  <wp:effectExtent l="0" t="0" r="0" b="9525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</w:tcPr>
          <w:p w:rsidR="00D1291A" w:rsidRPr="00065D3C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Srbská republika</w:t>
            </w:r>
          </w:p>
          <w:p w:rsidR="00D1291A" w:rsidRPr="00065D3C" w:rsidRDefault="00D1291A" w:rsidP="001F5F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Autonómna </w:t>
            </w:r>
            <w:proofErr w:type="spellStart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pokrajina</w:t>
            </w:r>
            <w:proofErr w:type="spellEnd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 Vojvodina</w:t>
            </w:r>
          </w:p>
          <w:p w:rsidR="00D1291A" w:rsidRPr="00065D3C" w:rsidRDefault="00D1291A" w:rsidP="001F5F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65D3C">
              <w:rPr>
                <w:rFonts w:asciiTheme="minorHAnsi" w:hAnsiTheme="minorHAnsi" w:cstheme="minorHAnsi"/>
                <w:b/>
                <w:sz w:val="22"/>
                <w:szCs w:val="22"/>
              </w:rPr>
              <w:t>Pokrajinský</w:t>
            </w:r>
            <w:proofErr w:type="spellEnd"/>
            <w:r w:rsidRPr="00065D3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sekretariát vzdelávania, predpisov,</w:t>
            </w:r>
          </w:p>
          <w:p w:rsidR="00D1291A" w:rsidRPr="00065D3C" w:rsidRDefault="00D1291A" w:rsidP="001F5F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D1291A" w:rsidRPr="00065D3C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Bulvár </w:t>
            </w:r>
            <w:proofErr w:type="spellStart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Mihajla</w:t>
            </w:r>
            <w:proofErr w:type="spellEnd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Pupina</w:t>
            </w:r>
            <w:proofErr w:type="spellEnd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 16, </w:t>
            </w:r>
            <w:r w:rsidRPr="00065D3C">
              <w:rPr>
                <w:rFonts w:asciiTheme="minorHAnsi" w:hAnsiTheme="minorHAnsi" w:cstheme="minorHAnsi"/>
                <w:sz w:val="22"/>
                <w:szCs w:val="22"/>
              </w:rPr>
              <w:br/>
              <w:t>21 000 Nový Sad</w:t>
            </w:r>
          </w:p>
          <w:p w:rsidR="00D1291A" w:rsidRPr="00065D3C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T: +381 21  487  46 14, 487 40 36, 487 43 36</w:t>
            </w:r>
          </w:p>
          <w:p w:rsidR="00D1291A" w:rsidRPr="00065D3C" w:rsidRDefault="00155EB1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337A31" w:rsidRPr="00065D3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D1291A" w:rsidRPr="00065D3C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56793" w:rsidRPr="00065D3C" w:rsidRDefault="00156793" w:rsidP="00156793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065D3C" w:rsidTr="00FE0351">
        <w:trPr>
          <w:trHeight w:val="426"/>
        </w:trPr>
        <w:tc>
          <w:tcPr>
            <w:tcW w:w="3402" w:type="dxa"/>
          </w:tcPr>
          <w:p w:rsidR="00D1291A" w:rsidRPr="00065D3C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ČÍSLO: 128-454-450/2022-04/1</w:t>
            </w:r>
          </w:p>
          <w:p w:rsidR="00D1291A" w:rsidRPr="00065D3C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065D3C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DÁTUM: 27. 10. 2022</w:t>
            </w:r>
          </w:p>
          <w:p w:rsidR="00D1291A" w:rsidRPr="00065D3C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7310E8" w:rsidRPr="00065D3C" w:rsidRDefault="007310E8" w:rsidP="007310E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r w:rsidRPr="00065D3C">
        <w:rPr>
          <w:rFonts w:asciiTheme="minorHAnsi" w:hAnsiTheme="minorHAnsi" w:cstheme="minorHAnsi"/>
          <w:sz w:val="22"/>
          <w:szCs w:val="22"/>
        </w:rPr>
        <w:t xml:space="preserve">Podľa článku 15, 16 odsek 5 a 24 odsek 2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Vojvodiny na rok 2022 (Úradný vestník APV č. 54/21, 7/22 a 37/22), článku 9 Pravidiel o pridelení rozpočtových prostriedkov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spoločné financovanie modernizácie infraštruktúry ustanovizní základnej a strednej výchovy a vzdelávania a žiackeho štandardu na území Autonómnej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Vojvodiny (Úradný vestník APV číslo 4/17) a v rámci Súbehu na financovanie a spoločné financovanie vypracovania technickej dokumentácie pre potreby ustanovizní základnej a strednej výchovy a vzdelávania na území Autonómnej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Vojvodiny na rok 2022 (Úradný vestník APV číslo  39/22, 41/22 a 44/22), na základe Rozhodnutia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tajomníka vzdelávania, predpisov, správy a národnostných menšín – národnostných spoločenstiev číslo: 128-199/2022 vyneseného dňa 5. 7. 2022,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Slađana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Bursać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>, ZÁSTUPKYŇA POKRAJINSKÉHO TAJOMNÍKA vyniesla</w:t>
      </w:r>
    </w:p>
    <w:p w:rsidR="00D1291A" w:rsidRPr="00065D3C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065D3C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ROZHODNUTIE </w:t>
      </w:r>
    </w:p>
    <w:p w:rsidR="00D1291A" w:rsidRPr="00065D3C" w:rsidRDefault="00D1291A" w:rsidP="00BA66F9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SPOLOČNÉ FINANCOVANIE VYPRACOVANIA TECHNICKEJ DOKUMENTÁCIE PRE USTANOVIZNE ZÁKLADNEJ VÝCHOVY A VZDELÁVANIA NA ÚZEMÍ AUTONÓMNEJ POKRAJINY VOJVODINY NA ROK 2022</w:t>
      </w:r>
      <w:r w:rsidRPr="00065D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1291A" w:rsidRPr="00065D3C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065D3C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065D3C" w:rsidRDefault="00F93FE3" w:rsidP="00F93FE3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065D3C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</w:t>
      </w:r>
      <w:proofErr w:type="spellStart"/>
      <w:r w:rsidRPr="00065D3C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ustanovizniam základnej výchovy a vzdelávania podľa </w:t>
      </w:r>
      <w:r w:rsidRPr="00065D3C">
        <w:rPr>
          <w:rFonts w:asciiTheme="minorHAnsi" w:hAnsiTheme="minorHAnsi" w:cstheme="minorHAnsi"/>
          <w:i/>
          <w:iCs/>
          <w:sz w:val="22"/>
          <w:szCs w:val="22"/>
        </w:rPr>
        <w:t xml:space="preserve">Súbehu na financovanie a spoločné financovanie vypracovania technickej dokumentácie na potreby ustanovizní základnej a strednej výchovy a vzdelávania na území Autonómnej </w:t>
      </w:r>
      <w:proofErr w:type="spellStart"/>
      <w:r w:rsidRPr="00065D3C">
        <w:rPr>
          <w:rFonts w:asciiTheme="minorHAnsi" w:hAnsiTheme="minorHAnsi" w:cstheme="minorHAnsi"/>
          <w:i/>
          <w:iCs/>
          <w:sz w:val="22"/>
          <w:szCs w:val="22"/>
        </w:rPr>
        <w:t>pokrajiny</w:t>
      </w:r>
      <w:proofErr w:type="spellEnd"/>
      <w:r w:rsidRPr="00065D3C">
        <w:rPr>
          <w:rFonts w:asciiTheme="minorHAnsi" w:hAnsiTheme="minorHAnsi" w:cstheme="minorHAnsi"/>
          <w:i/>
          <w:iCs/>
          <w:sz w:val="22"/>
          <w:szCs w:val="22"/>
        </w:rPr>
        <w:t xml:space="preserve"> Vojvodiny na rok 2022 (Úradný vestník APV č.</w:t>
      </w:r>
      <w:r w:rsidRPr="00065D3C">
        <w:rPr>
          <w:rFonts w:asciiTheme="minorHAnsi" w:hAnsiTheme="minorHAnsi" w:cstheme="minorHAnsi"/>
          <w:i/>
          <w:sz w:val="22"/>
          <w:szCs w:val="22"/>
        </w:rPr>
        <w:t xml:space="preserve"> 39/22, 41/12 a 44/22). </w:t>
      </w:r>
    </w:p>
    <w:p w:rsidR="00D1291A" w:rsidRPr="00065D3C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065D3C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1E054C" w:rsidRPr="00065D3C" w:rsidRDefault="00D1291A" w:rsidP="001E054C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65D3C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30 000 000,00</w:t>
      </w:r>
      <w:r w:rsidRPr="00065D3C">
        <w:rPr>
          <w:rFonts w:asciiTheme="minorHAnsi" w:hAnsiTheme="minorHAnsi" w:cstheme="minorHAnsi"/>
          <w:sz w:val="22"/>
          <w:szCs w:val="22"/>
        </w:rPr>
        <w:t xml:space="preserve">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065D3C">
        <w:rPr>
          <w:rFonts w:asciiTheme="minorHAnsi" w:hAnsiTheme="minorHAnsi" w:cstheme="minorHAnsi"/>
          <w:sz w:val="22"/>
          <w:szCs w:val="22"/>
        </w:rPr>
        <w:t xml:space="preserve"> a v rámci toho pre stupeň základnej výchovy a vzdelávania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24 983 931,00</w:t>
      </w:r>
      <w:r w:rsidRPr="00065D3C">
        <w:rPr>
          <w:rFonts w:asciiTheme="minorHAnsi" w:hAnsiTheme="minorHAnsi" w:cstheme="minorHAnsi"/>
          <w:sz w:val="22"/>
          <w:szCs w:val="22"/>
        </w:rPr>
        <w:t xml:space="preserve">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065D3C">
        <w:rPr>
          <w:rFonts w:asciiTheme="minorHAnsi" w:hAnsiTheme="minorHAnsi" w:cstheme="minorHAnsi"/>
          <w:sz w:val="22"/>
          <w:szCs w:val="22"/>
        </w:rPr>
        <w:t xml:space="preserve">. Týmto rozhodnutím sa rozdeľujú finančné prostriedky pre ustanovizne základného vzdelávania a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suma vo výške</w:t>
      </w:r>
      <w:r w:rsidRPr="00065D3C">
        <w:rPr>
          <w:rFonts w:asciiTheme="minorHAnsi" w:hAnsiTheme="minorHAnsi" w:cstheme="minorHAnsi"/>
          <w:sz w:val="22"/>
          <w:szCs w:val="22"/>
        </w:rPr>
        <w:t xml:space="preserve">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>16 069,00 dinárov zostáva nerozvrhnutá.</w:t>
      </w:r>
    </w:p>
    <w:p w:rsidR="00D1291A" w:rsidRPr="00065D3C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</w:p>
    <w:p w:rsidR="00D1291A" w:rsidRPr="00065D3C" w:rsidRDefault="00D1291A" w:rsidP="00E314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065D3C">
        <w:rPr>
          <w:rFonts w:asciiTheme="minorHAnsi" w:hAnsiTheme="minorHAnsi" w:cstheme="minorHAnsi"/>
          <w:sz w:val="22"/>
          <w:szCs w:val="22"/>
        </w:rPr>
        <w:t xml:space="preserve"> Prostriedky sa schvaľujú ustanovizniam základnej výchovy a vzdelávania (ďalej: užívatelia) v súlade s predloženou tabuľkou 1.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t xml:space="preserve">ROZVRHNUTIE PROSTRIEDKOV NA FINANCOVANIE A SPOLOČNÉ FINANCOVANIE VYPRACOVANIA TECHNICKEJ DOKUMENTÁCIE PRE POTREBY </w:t>
      </w:r>
      <w:r w:rsidRPr="00065D3C">
        <w:rPr>
          <w:rFonts w:asciiTheme="minorHAnsi" w:hAnsiTheme="minorHAnsi" w:cstheme="minorHAnsi"/>
          <w:b/>
          <w:bCs/>
          <w:sz w:val="22"/>
          <w:szCs w:val="22"/>
        </w:rPr>
        <w:lastRenderedPageBreak/>
        <w:t>USTANOVIZNÍ STREDNEJ VÝCHOVY A VZDELÁVANIA NA ÚZEMÍ AUTONÓMNEJ POKRAJINY VOJVODINY NA ROK 2022,</w:t>
      </w:r>
      <w:r w:rsidRPr="00065D3C">
        <w:rPr>
          <w:rFonts w:asciiTheme="minorHAnsi" w:hAnsiTheme="minorHAnsi" w:cstheme="minorHAnsi"/>
          <w:sz w:val="22"/>
          <w:szCs w:val="22"/>
        </w:rPr>
        <w:t xml:space="preserve"> ktorá je súčasťou tohto rozhodnutia.</w:t>
      </w:r>
    </w:p>
    <w:p w:rsidR="00D1291A" w:rsidRPr="00065D3C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D1291A" w:rsidRPr="00065D3C" w:rsidRDefault="00D1291A" w:rsidP="001F3FC2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1291A" w:rsidRPr="00065D3C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Pokrajinským</w:t>
      </w:r>
      <w:proofErr w:type="spellEnd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pokrajiny</w:t>
      </w:r>
      <w:proofErr w:type="spellEnd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Vojvodiny na rok 2022, v osobitnom oddiele </w:t>
      </w:r>
      <w:proofErr w:type="spellStart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Pokrajinského</w:t>
      </w:r>
      <w:proofErr w:type="spellEnd"/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 pre Program 2003 – Základné vzdelávanie, Programová aktivita 1006 – Modernizácia infraštruktúry základných škôl, funkčná klasifikácia 910, ekonomická klasifikácia 4632 – Kapitálové transfery ostatným úrovniam moci, zdroj financovania 01 00 – Všeobecné príjmy a rozpočtové výnosy, a prevedené užívateľom v súlade s prílevom finančných prostriedkov do rozpočtu AP Vojvodiny, teda s likvidnými rozpočtovými možnosťami.</w:t>
      </w:r>
    </w:p>
    <w:p w:rsidR="00D1291A" w:rsidRPr="00065D3C" w:rsidRDefault="00D1291A" w:rsidP="0038321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065D3C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065D3C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065D3C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065D3C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065D3C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ustálené týmto rozhodnutím.</w:t>
      </w:r>
    </w:p>
    <w:p w:rsidR="00D1291A" w:rsidRPr="00065D3C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065D3C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065D3C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D1291A" w:rsidRPr="00065D3C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065D3C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065D3C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D1291A" w:rsidRPr="00065D3C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065D3C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065D3C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065D3C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065D3C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065D3C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Sektoru materiálnych </w:t>
      </w:r>
    </w:p>
    <w:p w:rsidR="00D1291A" w:rsidRPr="00065D3C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065D3C" w:rsidRDefault="00065D3C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</w:t>
      </w:r>
      <w:r w:rsidR="00D1291A" w:rsidRPr="00065D3C">
        <w:rPr>
          <w:rFonts w:asciiTheme="minorHAnsi" w:hAnsiTheme="minorHAnsi" w:cstheme="minorHAnsi"/>
          <w:bCs/>
          <w:color w:val="000000"/>
          <w:sz w:val="22"/>
          <w:szCs w:val="22"/>
        </w:rPr>
        <w:t>Archívu</w:t>
      </w:r>
    </w:p>
    <w:p w:rsidR="00FE0351" w:rsidRPr="00065D3C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4460" w:type="dxa"/>
        <w:tblInd w:w="4395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60"/>
      </w:tblGrid>
      <w:tr w:rsidR="007310E8" w:rsidRPr="00065D3C" w:rsidTr="007310E8">
        <w:tc>
          <w:tcPr>
            <w:tcW w:w="4460" w:type="dxa"/>
            <w:tcBorders>
              <w:bottom w:val="nil"/>
            </w:tcBorders>
          </w:tcPr>
          <w:p w:rsidR="00065D3C" w:rsidRDefault="007310E8" w:rsidP="007310E8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65D3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 OPRÁVNENÍM POKRAJINSKÉHO TAJOMNÍKA             </w:t>
            </w:r>
          </w:p>
          <w:p w:rsidR="007310E8" w:rsidRPr="00065D3C" w:rsidRDefault="007310E8" w:rsidP="007310E8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GoBack"/>
            <w:bookmarkEnd w:id="0"/>
            <w:r w:rsidRPr="00065D3C">
              <w:rPr>
                <w:rFonts w:asciiTheme="minorHAnsi" w:hAnsiTheme="minorHAnsi" w:cstheme="minorHAnsi"/>
                <w:bCs/>
                <w:sz w:val="22"/>
                <w:szCs w:val="22"/>
              </w:rPr>
              <w:t>ZÁSTUPKYŇA POKRAJINSKÉHO TAJOMNÍKA</w:t>
            </w:r>
          </w:p>
        </w:tc>
      </w:tr>
      <w:tr w:rsidR="007310E8" w:rsidRPr="00065D3C" w:rsidTr="007310E8">
        <w:tc>
          <w:tcPr>
            <w:tcW w:w="4460" w:type="dxa"/>
            <w:tcBorders>
              <w:bottom w:val="single" w:sz="4" w:space="0" w:color="auto"/>
            </w:tcBorders>
            <w:vAlign w:val="center"/>
          </w:tcPr>
          <w:p w:rsidR="007310E8" w:rsidRPr="00065D3C" w:rsidRDefault="007310E8" w:rsidP="007310E8">
            <w:pPr>
              <w:pStyle w:val="BodyTextIndent"/>
              <w:ind w:left="0"/>
              <w:rPr>
                <w:rFonts w:asciiTheme="minorHAnsi" w:hAnsiTheme="minorHAnsi" w:cstheme="minorHAnsi"/>
                <w:sz w:val="22"/>
                <w:szCs w:val="22"/>
                <w:u w:val="single"/>
                <w:lang w:val="sr-Cyrl-RS"/>
              </w:rPr>
            </w:pPr>
          </w:p>
        </w:tc>
      </w:tr>
      <w:tr w:rsidR="007310E8" w:rsidRPr="00065D3C" w:rsidTr="007310E8">
        <w:tc>
          <w:tcPr>
            <w:tcW w:w="4460" w:type="dxa"/>
            <w:tcBorders>
              <w:top w:val="single" w:sz="4" w:space="0" w:color="auto"/>
              <w:bottom w:val="nil"/>
            </w:tcBorders>
          </w:tcPr>
          <w:p w:rsidR="007310E8" w:rsidRPr="00065D3C" w:rsidRDefault="007310E8" w:rsidP="007310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Slađana</w:t>
            </w:r>
            <w:proofErr w:type="spellEnd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>Bursać</w:t>
            </w:r>
            <w:proofErr w:type="spellEnd"/>
            <w:r w:rsidRPr="00065D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FE0351" w:rsidRPr="00065D3C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065D3C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B1" w:rsidRDefault="00155EB1">
      <w:r>
        <w:separator/>
      </w:r>
    </w:p>
  </w:endnote>
  <w:endnote w:type="continuationSeparator" w:id="0">
    <w:p w:rsidR="00155EB1" w:rsidRDefault="0015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B1" w:rsidRDefault="00155EB1">
      <w:r>
        <w:separator/>
      </w:r>
    </w:p>
  </w:footnote>
  <w:footnote w:type="continuationSeparator" w:id="0">
    <w:p w:rsidR="00155EB1" w:rsidRDefault="00155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65D3C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5EB1"/>
    <w:rsid w:val="00156793"/>
    <w:rsid w:val="00156E93"/>
    <w:rsid w:val="001647F0"/>
    <w:rsid w:val="00165069"/>
    <w:rsid w:val="001871F9"/>
    <w:rsid w:val="001948FD"/>
    <w:rsid w:val="001A66CB"/>
    <w:rsid w:val="001D0B91"/>
    <w:rsid w:val="001D2378"/>
    <w:rsid w:val="001E054C"/>
    <w:rsid w:val="001F1B31"/>
    <w:rsid w:val="001F3FC2"/>
    <w:rsid w:val="001F5F77"/>
    <w:rsid w:val="00203FBB"/>
    <w:rsid w:val="00207877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31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30FA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6746"/>
    <w:rsid w:val="00540176"/>
    <w:rsid w:val="00541125"/>
    <w:rsid w:val="00553800"/>
    <w:rsid w:val="0055754F"/>
    <w:rsid w:val="0055783B"/>
    <w:rsid w:val="005752E4"/>
    <w:rsid w:val="0059185A"/>
    <w:rsid w:val="005D479F"/>
    <w:rsid w:val="005D75D3"/>
    <w:rsid w:val="005E012E"/>
    <w:rsid w:val="005E3580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950"/>
    <w:rsid w:val="007039DB"/>
    <w:rsid w:val="007141F7"/>
    <w:rsid w:val="007210D6"/>
    <w:rsid w:val="007234B6"/>
    <w:rsid w:val="007310E8"/>
    <w:rsid w:val="00733073"/>
    <w:rsid w:val="0073500E"/>
    <w:rsid w:val="007371FF"/>
    <w:rsid w:val="00757218"/>
    <w:rsid w:val="007609AB"/>
    <w:rsid w:val="007710C4"/>
    <w:rsid w:val="00796FDE"/>
    <w:rsid w:val="00797CAE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767F1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5C2"/>
    <w:rsid w:val="00AB5E30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A66F9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8197A"/>
    <w:rsid w:val="00DA1D39"/>
    <w:rsid w:val="00DA25FA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E7848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99F05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Martina Bartosova</cp:lastModifiedBy>
  <cp:revision>5</cp:revision>
  <cp:lastPrinted>2022-10-27T10:07:00Z</cp:lastPrinted>
  <dcterms:created xsi:type="dcterms:W3CDTF">2022-10-21T13:55:00Z</dcterms:created>
  <dcterms:modified xsi:type="dcterms:W3CDTF">2022-10-27T13:38:00Z</dcterms:modified>
</cp:coreProperties>
</file>